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02E0" w14:textId="77777777" w:rsidR="00BF5F06" w:rsidRPr="00BF5F06" w:rsidRDefault="00BF5F06" w:rsidP="00BF5F06">
      <w:pPr>
        <w:spacing w:line="320" w:lineRule="exact"/>
        <w:rPr>
          <w:rFonts w:ascii="Arial" w:hAnsi="Arial" w:cs="Arial"/>
          <w:b/>
          <w:sz w:val="24"/>
          <w:szCs w:val="24"/>
        </w:rPr>
      </w:pPr>
    </w:p>
    <w:p w14:paraId="23416723" w14:textId="63BDEA07" w:rsidR="00BF5F06" w:rsidRPr="00C93980" w:rsidRDefault="00C93980" w:rsidP="00C93980">
      <w:pPr>
        <w:pStyle w:val="Nagwek1"/>
      </w:pPr>
      <w:r w:rsidRPr="00C93980">
        <w:t xml:space="preserve">Zarządzenie Nr 264/2026 Prezydenta Miasta Włocławek </w:t>
      </w:r>
      <w:r w:rsidR="00BF5F06" w:rsidRPr="00C93980">
        <w:t xml:space="preserve">z dnia </w:t>
      </w:r>
      <w:r w:rsidR="004F0A65" w:rsidRPr="00C93980">
        <w:t>26 maja 2026 r.</w:t>
      </w:r>
    </w:p>
    <w:p w14:paraId="1F1E7DDD" w14:textId="77777777" w:rsidR="00BF5F06" w:rsidRPr="00BF5F06" w:rsidRDefault="00BF5F06" w:rsidP="00BF5F06">
      <w:pPr>
        <w:spacing w:line="320" w:lineRule="exact"/>
        <w:ind w:left="1418" w:hanging="1276"/>
        <w:rPr>
          <w:rFonts w:ascii="Arial" w:hAnsi="Arial" w:cs="Arial"/>
          <w:sz w:val="24"/>
          <w:szCs w:val="24"/>
        </w:rPr>
      </w:pPr>
    </w:p>
    <w:p w14:paraId="6FCF3A15" w14:textId="77777777" w:rsidR="00BF5F06" w:rsidRPr="00BF5F06" w:rsidRDefault="00BF5F06" w:rsidP="00BF5F06">
      <w:pPr>
        <w:spacing w:line="320" w:lineRule="exact"/>
        <w:rPr>
          <w:rFonts w:ascii="Arial" w:hAnsi="Arial" w:cs="Arial"/>
          <w:bCs/>
          <w:sz w:val="24"/>
          <w:szCs w:val="24"/>
        </w:rPr>
      </w:pPr>
      <w:r w:rsidRPr="00BF5F06">
        <w:rPr>
          <w:rFonts w:ascii="Arial" w:hAnsi="Arial" w:cs="Arial"/>
          <w:bCs/>
          <w:sz w:val="24"/>
          <w:szCs w:val="24"/>
        </w:rPr>
        <w:t>w sprawie zaciągnięcia pożyczki w BGK na spłatę wcześniej zaciągniętej pożyczki w EBI</w:t>
      </w:r>
    </w:p>
    <w:p w14:paraId="7BF43DAC" w14:textId="77777777" w:rsidR="00BF5F06" w:rsidRPr="00BF5F06" w:rsidRDefault="00BF5F06" w:rsidP="00BF5F06">
      <w:pPr>
        <w:spacing w:line="320" w:lineRule="exact"/>
        <w:rPr>
          <w:rFonts w:ascii="Arial" w:hAnsi="Arial" w:cs="Arial"/>
          <w:sz w:val="24"/>
          <w:szCs w:val="24"/>
        </w:rPr>
      </w:pPr>
    </w:p>
    <w:p w14:paraId="63EEEE09" w14:textId="7634F252" w:rsidR="00BF5F06" w:rsidRPr="00BF5F06" w:rsidRDefault="00BF5F06" w:rsidP="00BF5F06">
      <w:pPr>
        <w:pStyle w:val="Tekstpodstawowy2"/>
        <w:rPr>
          <w:rFonts w:ascii="Arial" w:hAnsi="Arial" w:cs="Arial"/>
          <w:szCs w:val="24"/>
        </w:rPr>
      </w:pPr>
      <w:r w:rsidRPr="00BF5F06">
        <w:rPr>
          <w:rFonts w:ascii="Arial" w:hAnsi="Arial" w:cs="Arial"/>
          <w:szCs w:val="24"/>
        </w:rPr>
        <w:t>Na podstawie art. 89 ust. 1 pkt 2 i 3 oraz art. 212 ustawy z dnia 27 sierpnia 2009 r. o finansach publicznych (Dz.U. z 2025 r. poz. 1483, 1844, i 1846 oraz z 2026 r. poz. 426), art. 58 ust. 1 ustawy z dnia 8 marca 1990 roku o samorządzie gminnym (Dz.U. z 2026 r. poz. 662), art. 32 ust. 2 pkt 4 ustawy z dnia 5 czerwca 1998 r. o samorządzie powiatowym (Dz.U. z 2025 r. poz. 1684 i z 2026 r. poz. 252) w związku z § 14 pkt 1 Uchwały Nr XXVII/137/2025 Rady Miasta Włocławek z dnia 16 grudnia 2025 r. w sprawie uchwalenia budżetu miasta Włocławek na 2026 rok (Dz. Urz. Woj. Kuj-Pom. z 2025 r. poz. 6434) zmienionej Zarządzeniem Nr 10/2026 Prezydenta Miasta Włocławek z dnia 13 stycznia 2026 r. (Dz. Urz. Woj. Kuj-Pom. z 2026 r. poz. 543), Uchwałą Nr XXIX/1/2026 Rady Miasta Włocławek z dnia 27 stycznia 2026 r. (Dz. Urz. Woj. Kuj-Pom. z 2026 r. poz. 732), Zarządzeniem Nr 44/2026 Prezydenta Miasta Włocławek z dnia 30 stycznia 2026 r. (Dz. Urz. Woj. Kuj-Pom. z 2026 r. poz. 867), Uchwałą Nr XXX/10/2026 Rady Miasta Włocławek z dnia 24 lutego 2026 r. (Dz. Urz. Woj. Kuj-Pom. z 2026 r. poz. 1224), Zarządzeniem Nr 82/2026 Prezydenta Miasta Włocławek z dnia 27 lutego 2026 r. (Dz. Urz. Woj. Kuj-Pom. z 2026 r. poz. 1332), Zarządzeniem Nr 101/2026 Prezydenta Miasta Włocławek z dnia 13 marca 2026 r. (Dz. Urz. Woj. Kuj-Pom. z 2026 r. poz. 1465), Zarządzeniem Nr 126/2026 Prezydenta Miasta Włocławek z dnia 31 marca 2026 r. (Dz. U. Woj. Kuj.-Pom. z 2026 r. poz.2078),</w:t>
      </w:r>
      <w:r>
        <w:rPr>
          <w:rFonts w:ascii="Arial" w:hAnsi="Arial" w:cs="Arial"/>
          <w:szCs w:val="24"/>
        </w:rPr>
        <w:t xml:space="preserve"> </w:t>
      </w:r>
      <w:r w:rsidRPr="00BF5F06">
        <w:rPr>
          <w:rFonts w:ascii="Arial" w:hAnsi="Arial" w:cs="Arial"/>
          <w:szCs w:val="24"/>
        </w:rPr>
        <w:t>Uchwałą Nr XXXI/29/2026 Rady Miasta Włocławek z dnia 31 marca 2026 r. (Dz. Urz. Woj. Kuj-Pom. z 2026 r. poz. 2086), Uchwałą Nr XXXII/46/2026 Rady Miasta Włocławek z dnia 9 kwietnia 2026 r. (Dz. Urz. Woj. Kuj-Pom. z 2026 r. poz. 2145), Zarządzeniem Nr 165/2026 Prezydenta Miasta Włocławek z dnia 28 kwietnia 2026 r. (Dz. Urz. Woj. Kuj-Pom. z 2026 r. poz. 2363), Uchwałą Nr XXXIII/48/2026 Rady Miasta Włocławek z dnia 28 kwietnia 2026 r. (Dz. Urz. Woj. Kuj-Pom. z 2026 r. poz. 2506), Zarządzeniem Nr 169/2026 Prezydenta Miasta Włocławek z dnia 30 kwietnia 2026 r. (Dz. Urz. Woj. Kuj-Pom. z 2026 r. poz. 2540), Zarządzeniem Nr 217/2026 Prezydenta Miasta Włocławek z dnia 11 maja 2026 roku (Dz. Urz. Woj. Kuj-Pom. z 2026 r. poz. 2659), Zarządzeniem Nr 253/2026 Prezydenta Miasta Włocławek z dnia 25 maja 2026 r, oraz Uchwałą Nr</w:t>
      </w:r>
      <w:r w:rsidR="004F0A65">
        <w:rPr>
          <w:rFonts w:ascii="Arial" w:hAnsi="Arial" w:cs="Arial"/>
          <w:szCs w:val="24"/>
        </w:rPr>
        <w:t xml:space="preserve"> XXXIV/62/2026 </w:t>
      </w:r>
      <w:r w:rsidRPr="00BF5F06">
        <w:rPr>
          <w:rFonts w:ascii="Arial" w:hAnsi="Arial" w:cs="Arial"/>
          <w:szCs w:val="24"/>
        </w:rPr>
        <w:t xml:space="preserve">Rady Miasta Włocławek z dnia 26 maja 2026 r.   </w:t>
      </w:r>
    </w:p>
    <w:p w14:paraId="602EC787" w14:textId="77777777" w:rsidR="00BF5F06" w:rsidRPr="00BF5F06" w:rsidRDefault="00BF5F06" w:rsidP="00BF5F06">
      <w:pPr>
        <w:spacing w:line="200" w:lineRule="exact"/>
        <w:rPr>
          <w:rFonts w:ascii="Arial" w:hAnsi="Arial" w:cs="Arial"/>
          <w:sz w:val="24"/>
          <w:szCs w:val="24"/>
        </w:rPr>
      </w:pPr>
    </w:p>
    <w:p w14:paraId="7DA97455" w14:textId="4B3DAA36" w:rsidR="00BF5F06" w:rsidRPr="00BF5F06" w:rsidRDefault="00BF5F06" w:rsidP="00BF5F06">
      <w:pPr>
        <w:spacing w:line="320" w:lineRule="exact"/>
        <w:rPr>
          <w:rFonts w:ascii="Arial" w:hAnsi="Arial" w:cs="Arial"/>
          <w:b/>
          <w:sz w:val="24"/>
          <w:szCs w:val="24"/>
        </w:rPr>
      </w:pPr>
      <w:r w:rsidRPr="00BF5F06">
        <w:rPr>
          <w:rFonts w:ascii="Arial" w:hAnsi="Arial" w:cs="Arial"/>
          <w:b/>
          <w:sz w:val="24"/>
          <w:szCs w:val="24"/>
        </w:rPr>
        <w:t>zarządza się, co następuje:</w:t>
      </w:r>
    </w:p>
    <w:p w14:paraId="68E0EF77" w14:textId="77777777" w:rsidR="00BF5F06" w:rsidRPr="00BF5F06" w:rsidRDefault="00BF5F06" w:rsidP="00BF5F06">
      <w:pPr>
        <w:spacing w:line="200" w:lineRule="exact"/>
        <w:rPr>
          <w:rFonts w:ascii="Arial" w:hAnsi="Arial" w:cs="Arial"/>
          <w:b/>
          <w:sz w:val="24"/>
          <w:szCs w:val="24"/>
        </w:rPr>
      </w:pPr>
    </w:p>
    <w:p w14:paraId="184F9B8C" w14:textId="77777777" w:rsidR="00BF5F06" w:rsidRPr="00BF5F06" w:rsidRDefault="00BF5F06" w:rsidP="00BF5F06">
      <w:pPr>
        <w:spacing w:line="320" w:lineRule="exact"/>
        <w:rPr>
          <w:rFonts w:ascii="Arial" w:hAnsi="Arial" w:cs="Arial"/>
          <w:sz w:val="24"/>
          <w:szCs w:val="24"/>
        </w:rPr>
      </w:pPr>
      <w:r w:rsidRPr="00BF5F06">
        <w:rPr>
          <w:rFonts w:ascii="Arial" w:hAnsi="Arial" w:cs="Arial"/>
          <w:sz w:val="24"/>
          <w:szCs w:val="24"/>
        </w:rPr>
        <w:t xml:space="preserve">§ 1. Zaciągnąć pożyczkę w Banku Gospodarstwa Krajowego w wysokości 62.871.389,20 zł (słownie: sześćdziesiąt dwa miliony osiemset siedemdziesiąt jeden tysięcy trzysta osiemdziesiąt dziewięć złotych 20/100) z przeznaczeniem na spłatę wcześniej zaciągniętej pożyczki.  </w:t>
      </w:r>
    </w:p>
    <w:p w14:paraId="410F123E" w14:textId="77777777" w:rsidR="00BF5F06" w:rsidRPr="00BF5F06" w:rsidRDefault="00BF5F06" w:rsidP="00BF5F06">
      <w:pPr>
        <w:spacing w:line="200" w:lineRule="exact"/>
        <w:rPr>
          <w:rFonts w:ascii="Arial" w:hAnsi="Arial" w:cs="Arial"/>
          <w:sz w:val="24"/>
          <w:szCs w:val="24"/>
        </w:rPr>
      </w:pPr>
    </w:p>
    <w:p w14:paraId="7A3B99D4" w14:textId="77777777" w:rsidR="00BF5F06" w:rsidRPr="00BF5F06" w:rsidRDefault="00BF5F06" w:rsidP="00BF5F06">
      <w:pPr>
        <w:numPr>
          <w:ilvl w:val="0"/>
          <w:numId w:val="1"/>
        </w:numPr>
        <w:tabs>
          <w:tab w:val="clear" w:pos="786"/>
          <w:tab w:val="num" w:pos="284"/>
        </w:tabs>
        <w:spacing w:line="320" w:lineRule="exact"/>
        <w:ind w:left="0" w:firstLine="0"/>
        <w:rPr>
          <w:rFonts w:ascii="Arial" w:hAnsi="Arial" w:cs="Arial"/>
          <w:sz w:val="24"/>
          <w:szCs w:val="24"/>
        </w:rPr>
      </w:pPr>
      <w:r w:rsidRPr="00BF5F06">
        <w:rPr>
          <w:rFonts w:ascii="Arial" w:hAnsi="Arial" w:cs="Arial"/>
          <w:sz w:val="24"/>
          <w:szCs w:val="24"/>
        </w:rPr>
        <w:t xml:space="preserve">Źródłem, z którego pożyczka zostanie spłacona będą wpływy środków finansowych z: </w:t>
      </w:r>
    </w:p>
    <w:p w14:paraId="5B895AE4" w14:textId="77777777" w:rsidR="00BF5F06" w:rsidRPr="00BF5F06" w:rsidRDefault="00BF5F06" w:rsidP="00BF5F06">
      <w:pPr>
        <w:numPr>
          <w:ilvl w:val="0"/>
          <w:numId w:val="3"/>
        </w:numPr>
        <w:spacing w:line="320" w:lineRule="exact"/>
        <w:ind w:left="0" w:firstLine="0"/>
        <w:rPr>
          <w:rFonts w:ascii="Arial" w:hAnsi="Arial" w:cs="Arial"/>
          <w:sz w:val="24"/>
          <w:szCs w:val="24"/>
        </w:rPr>
      </w:pPr>
      <w:r w:rsidRPr="00BF5F06">
        <w:rPr>
          <w:rFonts w:ascii="Arial" w:hAnsi="Arial" w:cs="Arial"/>
          <w:sz w:val="24"/>
          <w:szCs w:val="24"/>
        </w:rPr>
        <w:t xml:space="preserve">przychodów, </w:t>
      </w:r>
    </w:p>
    <w:p w14:paraId="3F70C6DA" w14:textId="77777777" w:rsidR="00BF5F06" w:rsidRPr="00BF5F06" w:rsidRDefault="00BF5F06" w:rsidP="00BF5F06">
      <w:pPr>
        <w:numPr>
          <w:ilvl w:val="0"/>
          <w:numId w:val="3"/>
        </w:numPr>
        <w:spacing w:line="320" w:lineRule="exact"/>
        <w:ind w:left="0" w:firstLine="0"/>
        <w:rPr>
          <w:rFonts w:ascii="Arial" w:hAnsi="Arial" w:cs="Arial"/>
          <w:sz w:val="24"/>
          <w:szCs w:val="24"/>
        </w:rPr>
      </w:pPr>
      <w:r w:rsidRPr="00BF5F06">
        <w:rPr>
          <w:rFonts w:ascii="Arial" w:hAnsi="Arial" w:cs="Arial"/>
          <w:sz w:val="24"/>
          <w:szCs w:val="24"/>
        </w:rPr>
        <w:t xml:space="preserve">dochodów bieżących (podatek od nieruchomości), </w:t>
      </w:r>
    </w:p>
    <w:p w14:paraId="648973DB" w14:textId="77777777" w:rsidR="00BF5F06" w:rsidRPr="00BF5F06" w:rsidRDefault="00BF5F06" w:rsidP="00BF5F06">
      <w:pPr>
        <w:numPr>
          <w:ilvl w:val="0"/>
          <w:numId w:val="3"/>
        </w:numPr>
        <w:spacing w:line="320" w:lineRule="exact"/>
        <w:ind w:left="0" w:firstLine="0"/>
        <w:rPr>
          <w:rFonts w:ascii="Arial" w:hAnsi="Arial" w:cs="Arial"/>
          <w:sz w:val="24"/>
          <w:szCs w:val="24"/>
        </w:rPr>
      </w:pPr>
      <w:r w:rsidRPr="00BF5F06">
        <w:rPr>
          <w:rFonts w:ascii="Arial" w:hAnsi="Arial" w:cs="Arial"/>
          <w:sz w:val="24"/>
          <w:szCs w:val="24"/>
        </w:rPr>
        <w:lastRenderedPageBreak/>
        <w:t>dochodów majątkowych stanowiących refinansowanie wydatków związanych z zadaniami inwestycyjnymi, na które otrzymano wsparcie finansowe z funduszy Unii Europejskiej i innych źródeł.</w:t>
      </w:r>
    </w:p>
    <w:p w14:paraId="082E9086" w14:textId="77777777" w:rsidR="00BF5F06" w:rsidRPr="00BF5F06" w:rsidRDefault="00BF5F06" w:rsidP="00BF5F06">
      <w:pPr>
        <w:spacing w:line="200" w:lineRule="exact"/>
        <w:rPr>
          <w:rFonts w:ascii="Arial" w:hAnsi="Arial" w:cs="Arial"/>
          <w:sz w:val="24"/>
          <w:szCs w:val="24"/>
        </w:rPr>
      </w:pPr>
    </w:p>
    <w:p w14:paraId="7D6B10BC" w14:textId="77777777" w:rsidR="00BF5F06" w:rsidRPr="00BF5F06" w:rsidRDefault="00BF5F06" w:rsidP="00BF5F06">
      <w:pPr>
        <w:numPr>
          <w:ilvl w:val="0"/>
          <w:numId w:val="1"/>
        </w:numPr>
        <w:tabs>
          <w:tab w:val="clear" w:pos="786"/>
          <w:tab w:val="num" w:pos="284"/>
        </w:tabs>
        <w:spacing w:line="320" w:lineRule="exact"/>
        <w:ind w:hanging="786"/>
        <w:rPr>
          <w:rFonts w:ascii="Arial" w:hAnsi="Arial" w:cs="Arial"/>
          <w:sz w:val="24"/>
          <w:szCs w:val="24"/>
        </w:rPr>
      </w:pPr>
      <w:r w:rsidRPr="00BF5F06">
        <w:rPr>
          <w:rFonts w:ascii="Arial" w:hAnsi="Arial" w:cs="Arial"/>
          <w:sz w:val="24"/>
          <w:szCs w:val="24"/>
        </w:rPr>
        <w:t>Zabezpieczeniem kredytu jest weksel własny in blanco.</w:t>
      </w:r>
    </w:p>
    <w:p w14:paraId="0F6DF502" w14:textId="77777777" w:rsidR="00BF5F06" w:rsidRPr="00BF5F06" w:rsidRDefault="00BF5F06" w:rsidP="00BF5F06">
      <w:pPr>
        <w:spacing w:line="200" w:lineRule="exact"/>
        <w:ind w:left="425"/>
        <w:rPr>
          <w:rFonts w:ascii="Arial" w:hAnsi="Arial" w:cs="Arial"/>
          <w:sz w:val="24"/>
          <w:szCs w:val="24"/>
        </w:rPr>
      </w:pPr>
    </w:p>
    <w:p w14:paraId="085D192F" w14:textId="77777777" w:rsidR="00BF5F06" w:rsidRPr="00BF5F06" w:rsidRDefault="00BF5F06" w:rsidP="00BF5F06">
      <w:pPr>
        <w:spacing w:line="320" w:lineRule="exact"/>
        <w:rPr>
          <w:rFonts w:ascii="Arial" w:hAnsi="Arial" w:cs="Arial"/>
          <w:sz w:val="24"/>
          <w:szCs w:val="24"/>
        </w:rPr>
      </w:pPr>
      <w:r w:rsidRPr="00BF5F06">
        <w:rPr>
          <w:rFonts w:ascii="Arial" w:hAnsi="Arial" w:cs="Arial"/>
          <w:sz w:val="24"/>
          <w:szCs w:val="24"/>
        </w:rPr>
        <w:t>§ 2.1 Zarządzenie wchodzi w życie z dniem podpisania.</w:t>
      </w:r>
    </w:p>
    <w:p w14:paraId="769BD02D" w14:textId="77777777" w:rsidR="00BF5F06" w:rsidRPr="00BF5F06" w:rsidRDefault="00BF5F06" w:rsidP="00BF5F06">
      <w:pPr>
        <w:spacing w:line="320" w:lineRule="exact"/>
        <w:rPr>
          <w:rFonts w:ascii="Arial" w:hAnsi="Arial" w:cs="Arial"/>
          <w:sz w:val="24"/>
          <w:szCs w:val="24"/>
        </w:rPr>
      </w:pPr>
    </w:p>
    <w:p w14:paraId="5A32738D" w14:textId="77777777" w:rsidR="00BF5F06" w:rsidRDefault="00BF5F06" w:rsidP="00BF5F06">
      <w:pPr>
        <w:tabs>
          <w:tab w:val="left" w:pos="426"/>
        </w:tabs>
        <w:spacing w:line="320" w:lineRule="exact"/>
        <w:rPr>
          <w:rFonts w:ascii="Arial" w:hAnsi="Arial" w:cs="Arial"/>
          <w:sz w:val="24"/>
          <w:szCs w:val="24"/>
        </w:rPr>
      </w:pPr>
      <w:r w:rsidRPr="00BF5F06">
        <w:rPr>
          <w:rFonts w:ascii="Arial" w:hAnsi="Arial" w:cs="Arial"/>
          <w:sz w:val="24"/>
          <w:szCs w:val="24"/>
        </w:rPr>
        <w:t>2.</w:t>
      </w:r>
      <w:r w:rsidRPr="00BF5F06">
        <w:rPr>
          <w:rFonts w:ascii="Arial" w:hAnsi="Arial" w:cs="Arial"/>
          <w:b/>
          <w:sz w:val="24"/>
          <w:szCs w:val="24"/>
        </w:rPr>
        <w:t>  </w:t>
      </w:r>
      <w:r w:rsidRPr="00BF5F06">
        <w:rPr>
          <w:rFonts w:ascii="Arial" w:hAnsi="Arial" w:cs="Arial"/>
          <w:sz w:val="24"/>
          <w:szCs w:val="24"/>
        </w:rPr>
        <w:t>Zarządzenie podlega podaniu do publicznej wiadomości poprzez ogłoszenie w Biuletynie Informacji Publicznej Urzędu Miasta Włocławek.</w:t>
      </w:r>
    </w:p>
    <w:p w14:paraId="043F1E53" w14:textId="77777777" w:rsidR="00C93980" w:rsidRDefault="00C93980" w:rsidP="00BF5F06">
      <w:pPr>
        <w:tabs>
          <w:tab w:val="left" w:pos="426"/>
        </w:tabs>
        <w:spacing w:line="320" w:lineRule="exact"/>
        <w:rPr>
          <w:rFonts w:ascii="Arial" w:hAnsi="Arial" w:cs="Arial"/>
          <w:sz w:val="24"/>
          <w:szCs w:val="24"/>
        </w:rPr>
      </w:pPr>
    </w:p>
    <w:p w14:paraId="7C61775C" w14:textId="77777777" w:rsidR="00C93980" w:rsidRDefault="00C93980">
      <w:pPr>
        <w:spacing w:after="160" w:line="278" w:lineRule="auto"/>
        <w:rPr>
          <w:rFonts w:ascii="Arial" w:hAnsi="Arial" w:cs="Arial"/>
          <w:sz w:val="24"/>
          <w:szCs w:val="24"/>
        </w:rPr>
      </w:pPr>
      <w:r>
        <w:rPr>
          <w:rFonts w:ascii="Arial" w:hAnsi="Arial" w:cs="Arial"/>
          <w:sz w:val="24"/>
          <w:szCs w:val="24"/>
        </w:rPr>
        <w:br w:type="page"/>
      </w:r>
    </w:p>
    <w:p w14:paraId="362F2294" w14:textId="2A7EE0CA" w:rsidR="00BF5F06" w:rsidRPr="00C93980" w:rsidRDefault="00BF5F06" w:rsidP="00C93980">
      <w:pPr>
        <w:pStyle w:val="Nagwek2"/>
      </w:pPr>
      <w:r w:rsidRPr="00C93980">
        <w:lastRenderedPageBreak/>
        <w:t>UZASADNIENIE</w:t>
      </w:r>
    </w:p>
    <w:p w14:paraId="5BCA4E18" w14:textId="77777777" w:rsidR="00BF5F06" w:rsidRPr="00BF5F06" w:rsidRDefault="00BF5F06" w:rsidP="00BF5F06">
      <w:pPr>
        <w:spacing w:line="320" w:lineRule="exact"/>
        <w:rPr>
          <w:rFonts w:ascii="Arial" w:hAnsi="Arial" w:cs="Arial"/>
          <w:sz w:val="24"/>
          <w:szCs w:val="24"/>
        </w:rPr>
      </w:pPr>
    </w:p>
    <w:p w14:paraId="7B22E7F3" w14:textId="2CD57C45" w:rsidR="00BF5F06" w:rsidRPr="00BF5F06" w:rsidRDefault="00BF5F06" w:rsidP="00BF5F06">
      <w:p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 xml:space="preserve">Zgodnie z zapisem art. 89 ust.1 pkt. 3 ustawy z dnia 27 sierpnia 2009 r. o finansach publicznych jednostki samorządu terytorialnego mogą zaciągać kredyty i pożyczki oraz emitować papiery wartościowe na spłatę wcześniej zaciągniętych zobowiązań z tytułu emisji papierów wartościowych oraz zaciągniętych pożyczek i kredytów. Rada Miasta Włocławek upoważniła Prezydenta Miasta Włocławek do zaciągania kredytów, pożyczek oraz emisji papierów wartościowych. Zaciągnięcie pożyczki ma na celu poprawę warunków finansowania, tj. obniżenie oprocentowania. Po rewizji marży oprocentowanie pożyczki z EBI wynosi: WIBOR 1M + marża 1,43%, natomiast oprocentowanie pożyczki z BGK wyniesie WIBOR 1M + marża 0,65 %  </w:t>
      </w:r>
    </w:p>
    <w:p w14:paraId="05295170" w14:textId="77777777" w:rsidR="00BF5F06" w:rsidRPr="00BF5F06" w:rsidRDefault="00BF5F06" w:rsidP="00BF5F06">
      <w:p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Spłata pożyczki będzie następować w latach 2026 – 2038. Odsetki od pożyczki będą spłacane na bieżąco, bez karencji.</w:t>
      </w:r>
    </w:p>
    <w:p w14:paraId="1D25E86B" w14:textId="77777777" w:rsidR="00BF5F06" w:rsidRPr="00BF5F06" w:rsidRDefault="00BF5F06" w:rsidP="00BF5F06">
      <w:p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Miasto Włocławek dokona spłaty pożyczki w następujących wysokościach:</w:t>
      </w:r>
    </w:p>
    <w:p w14:paraId="52520339"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 xml:space="preserve">2026 r. -      64.305,40 zł, </w:t>
      </w:r>
    </w:p>
    <w:p w14:paraId="2F527DF2"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2027 r. -      64.305,40 zł,</w:t>
      </w:r>
    </w:p>
    <w:p w14:paraId="0AB67765"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2028 r. -             0 zł,</w:t>
      </w:r>
    </w:p>
    <w:p w14:paraId="150F264D"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2029 r. -     321.527,00 zł,</w:t>
      </w:r>
    </w:p>
    <w:p w14:paraId="013D0BD4"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2030 r. -     321.527,00 zł,</w:t>
      </w:r>
    </w:p>
    <w:p w14:paraId="1DFB6BCE"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2031 r. -  3.782.263,55 zł,</w:t>
      </w:r>
    </w:p>
    <w:p w14:paraId="5163829F"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2032 r. -  5.458.117,57 zł,</w:t>
      </w:r>
    </w:p>
    <w:p w14:paraId="7196E95C"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2033 r. -  3.858.323,98 zł,</w:t>
      </w:r>
    </w:p>
    <w:p w14:paraId="45835D9E"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2034 r. -  7.054.302,34 zł,</w:t>
      </w:r>
    </w:p>
    <w:p w14:paraId="5BAB3F27"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2035 r. -  8.507.909,18 zł,</w:t>
      </w:r>
    </w:p>
    <w:p w14:paraId="53A2A351"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2036 r. - 11.574.971,93 zł,</w:t>
      </w:r>
    </w:p>
    <w:p w14:paraId="216046B3"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2037 r. - 13.504.133,92 zł,</w:t>
      </w:r>
    </w:p>
    <w:p w14:paraId="05850691" w14:textId="77777777" w:rsidR="00BF5F06" w:rsidRPr="00BF5F06" w:rsidRDefault="00BF5F06" w:rsidP="00BF5F06">
      <w:pPr>
        <w:numPr>
          <w:ilvl w:val="0"/>
          <w:numId w:val="2"/>
        </w:num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2038 r. -   8.359.701,93 zł.</w:t>
      </w:r>
    </w:p>
    <w:p w14:paraId="5B598B5E" w14:textId="77777777" w:rsidR="00BF5F06" w:rsidRPr="00BF5F06" w:rsidRDefault="00BF5F06" w:rsidP="00BF5F06">
      <w:pPr>
        <w:suppressAutoHyphens/>
        <w:spacing w:line="320" w:lineRule="exact"/>
        <w:rPr>
          <w:rFonts w:ascii="Arial" w:eastAsia="SimSun" w:hAnsi="Arial" w:cs="Arial"/>
          <w:sz w:val="24"/>
          <w:szCs w:val="24"/>
          <w:lang w:eastAsia="ar-SA"/>
        </w:rPr>
      </w:pPr>
      <w:r w:rsidRPr="00BF5F06">
        <w:rPr>
          <w:rFonts w:ascii="Arial" w:eastAsia="SimSun" w:hAnsi="Arial" w:cs="Arial"/>
          <w:sz w:val="24"/>
          <w:szCs w:val="24"/>
          <w:lang w:eastAsia="ar-SA"/>
        </w:rPr>
        <w:t xml:space="preserve">Umowa pomiędzy Miastem Włocławek a Bankiem Gospodarstwa Krajowego określi wzajemne obowiązki oraz zasady współpracy stron. </w:t>
      </w:r>
    </w:p>
    <w:p w14:paraId="0CC3D270" w14:textId="77777777" w:rsidR="00BC3CC8" w:rsidRPr="00BF5F06" w:rsidRDefault="00BC3CC8" w:rsidP="00BF5F06">
      <w:pPr>
        <w:rPr>
          <w:rFonts w:ascii="Arial" w:hAnsi="Arial" w:cs="Arial"/>
          <w:sz w:val="24"/>
          <w:szCs w:val="24"/>
        </w:rPr>
      </w:pPr>
    </w:p>
    <w:sectPr w:rsidR="00BC3CC8" w:rsidRPr="00BF5F06" w:rsidSect="00BF5F06">
      <w:pgSz w:w="11906" w:h="16838"/>
      <w:pgMar w:top="1134"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Narrow"/>
      </w:rPr>
    </w:lvl>
    <w:lvl w:ilvl="1">
      <w:start w:val="1"/>
      <w:numFmt w:val="bullet"/>
      <w:lvlText w:val=""/>
      <w:lvlJc w:val="left"/>
      <w:pPr>
        <w:tabs>
          <w:tab w:val="num" w:pos="1080"/>
        </w:tabs>
        <w:ind w:left="1080" w:hanging="360"/>
      </w:pPr>
      <w:rPr>
        <w:rFonts w:ascii="Symbol" w:hAnsi="Symbol" w:cs="Arial Narrow"/>
      </w:rPr>
    </w:lvl>
    <w:lvl w:ilvl="2">
      <w:start w:val="1"/>
      <w:numFmt w:val="bullet"/>
      <w:lvlText w:val=""/>
      <w:lvlJc w:val="left"/>
      <w:pPr>
        <w:tabs>
          <w:tab w:val="num" w:pos="1440"/>
        </w:tabs>
        <w:ind w:left="1440" w:hanging="360"/>
      </w:pPr>
      <w:rPr>
        <w:rFonts w:ascii="Symbol" w:hAnsi="Symbol" w:cs="Arial Narrow"/>
      </w:rPr>
    </w:lvl>
    <w:lvl w:ilvl="3">
      <w:start w:val="1"/>
      <w:numFmt w:val="bullet"/>
      <w:lvlText w:val=""/>
      <w:lvlJc w:val="left"/>
      <w:pPr>
        <w:tabs>
          <w:tab w:val="num" w:pos="1800"/>
        </w:tabs>
        <w:ind w:left="1800" w:hanging="360"/>
      </w:pPr>
      <w:rPr>
        <w:rFonts w:ascii="Symbol" w:hAnsi="Symbol" w:cs="Arial Narrow"/>
      </w:rPr>
    </w:lvl>
    <w:lvl w:ilvl="4">
      <w:start w:val="1"/>
      <w:numFmt w:val="bullet"/>
      <w:lvlText w:val=""/>
      <w:lvlJc w:val="left"/>
      <w:pPr>
        <w:tabs>
          <w:tab w:val="num" w:pos="2160"/>
        </w:tabs>
        <w:ind w:left="2160" w:hanging="360"/>
      </w:pPr>
      <w:rPr>
        <w:rFonts w:ascii="Symbol" w:hAnsi="Symbol" w:cs="Arial Narrow"/>
      </w:rPr>
    </w:lvl>
    <w:lvl w:ilvl="5">
      <w:start w:val="1"/>
      <w:numFmt w:val="bullet"/>
      <w:lvlText w:val=""/>
      <w:lvlJc w:val="left"/>
      <w:pPr>
        <w:tabs>
          <w:tab w:val="num" w:pos="2520"/>
        </w:tabs>
        <w:ind w:left="2520" w:hanging="360"/>
      </w:pPr>
      <w:rPr>
        <w:rFonts w:ascii="Symbol" w:hAnsi="Symbol" w:cs="Arial Narrow"/>
      </w:rPr>
    </w:lvl>
    <w:lvl w:ilvl="6">
      <w:start w:val="1"/>
      <w:numFmt w:val="bullet"/>
      <w:lvlText w:val=""/>
      <w:lvlJc w:val="left"/>
      <w:pPr>
        <w:tabs>
          <w:tab w:val="num" w:pos="2880"/>
        </w:tabs>
        <w:ind w:left="2880" w:hanging="360"/>
      </w:pPr>
      <w:rPr>
        <w:rFonts w:ascii="Symbol" w:hAnsi="Symbol" w:cs="Arial Narrow"/>
      </w:rPr>
    </w:lvl>
    <w:lvl w:ilvl="7">
      <w:start w:val="1"/>
      <w:numFmt w:val="bullet"/>
      <w:lvlText w:val=""/>
      <w:lvlJc w:val="left"/>
      <w:pPr>
        <w:tabs>
          <w:tab w:val="num" w:pos="3240"/>
        </w:tabs>
        <w:ind w:left="3240" w:hanging="360"/>
      </w:pPr>
      <w:rPr>
        <w:rFonts w:ascii="Symbol" w:hAnsi="Symbol" w:cs="Arial Narrow"/>
      </w:rPr>
    </w:lvl>
    <w:lvl w:ilvl="8">
      <w:start w:val="1"/>
      <w:numFmt w:val="bullet"/>
      <w:lvlText w:val=""/>
      <w:lvlJc w:val="left"/>
      <w:pPr>
        <w:tabs>
          <w:tab w:val="num" w:pos="3600"/>
        </w:tabs>
        <w:ind w:left="3600" w:hanging="360"/>
      </w:pPr>
      <w:rPr>
        <w:rFonts w:ascii="Symbol" w:hAnsi="Symbol" w:cs="Arial Narrow"/>
      </w:rPr>
    </w:lvl>
  </w:abstractNum>
  <w:abstractNum w:abstractNumId="1" w15:restartNumberingAfterBreak="0">
    <w:nsid w:val="1A195419"/>
    <w:multiLevelType w:val="hybridMultilevel"/>
    <w:tmpl w:val="8F4CE9A4"/>
    <w:lvl w:ilvl="0" w:tplc="04150011">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378367A3"/>
    <w:multiLevelType w:val="singleLevel"/>
    <w:tmpl w:val="3342E408"/>
    <w:lvl w:ilvl="0">
      <w:start w:val="2"/>
      <w:numFmt w:val="decimal"/>
      <w:lvlText w:val="%1."/>
      <w:lvlJc w:val="left"/>
      <w:pPr>
        <w:tabs>
          <w:tab w:val="num" w:pos="786"/>
        </w:tabs>
        <w:ind w:left="786" w:hanging="360"/>
      </w:pPr>
      <w:rPr>
        <w:rFonts w:hint="default"/>
        <w:b w:val="0"/>
      </w:rPr>
    </w:lvl>
  </w:abstractNum>
  <w:num w:numId="1" w16cid:durableId="929312586">
    <w:abstractNumId w:val="2"/>
  </w:num>
  <w:num w:numId="2" w16cid:durableId="923951525">
    <w:abstractNumId w:val="0"/>
  </w:num>
  <w:num w:numId="3" w16cid:durableId="167695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6"/>
    <w:rsid w:val="00251BD4"/>
    <w:rsid w:val="00485F31"/>
    <w:rsid w:val="004F0A65"/>
    <w:rsid w:val="005F3502"/>
    <w:rsid w:val="009322FC"/>
    <w:rsid w:val="00B75365"/>
    <w:rsid w:val="00BC3CC8"/>
    <w:rsid w:val="00BF5F06"/>
    <w:rsid w:val="00C939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5CA6"/>
  <w15:chartTrackingRefBased/>
  <w15:docId w15:val="{8A90A393-803F-4524-896D-C240CAE2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5F06"/>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C93980"/>
    <w:pPr>
      <w:spacing w:line="320" w:lineRule="exact"/>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C93980"/>
    <w:pPr>
      <w:tabs>
        <w:tab w:val="left" w:pos="426"/>
      </w:tabs>
      <w:spacing w:line="320" w:lineRule="exact"/>
      <w:outlineLvl w:val="1"/>
    </w:pPr>
    <w:rPr>
      <w:rFonts w:ascii="Arial" w:hAnsi="Arial" w:cs="Arial"/>
      <w:sz w:val="24"/>
      <w:szCs w:val="24"/>
    </w:rPr>
  </w:style>
  <w:style w:type="paragraph" w:styleId="Nagwek3">
    <w:name w:val="heading 3"/>
    <w:basedOn w:val="Normalny"/>
    <w:next w:val="Normalny"/>
    <w:link w:val="Nagwek3Znak"/>
    <w:uiPriority w:val="9"/>
    <w:semiHidden/>
    <w:unhideWhenUsed/>
    <w:qFormat/>
    <w:rsid w:val="00BF5F0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F5F0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F5F0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F5F0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5F0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5F0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5F0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3980"/>
    <w:rPr>
      <w:rFonts w:ascii="Arial" w:eastAsia="Times New Roman" w:hAnsi="Arial" w:cs="Arial"/>
      <w:b/>
      <w:kern w:val="0"/>
      <w:lang w:eastAsia="pl-PL"/>
      <w14:ligatures w14:val="none"/>
    </w:rPr>
  </w:style>
  <w:style w:type="character" w:customStyle="1" w:styleId="Nagwek2Znak">
    <w:name w:val="Nagłówek 2 Znak"/>
    <w:basedOn w:val="Domylnaczcionkaakapitu"/>
    <w:link w:val="Nagwek2"/>
    <w:uiPriority w:val="9"/>
    <w:rsid w:val="00C93980"/>
    <w:rPr>
      <w:rFonts w:ascii="Arial" w:eastAsia="Times New Roman" w:hAnsi="Arial" w:cs="Arial"/>
      <w:kern w:val="0"/>
      <w:lang w:eastAsia="pl-PL"/>
      <w14:ligatures w14:val="none"/>
    </w:rPr>
  </w:style>
  <w:style w:type="character" w:customStyle="1" w:styleId="Nagwek3Znak">
    <w:name w:val="Nagłówek 3 Znak"/>
    <w:basedOn w:val="Domylnaczcionkaakapitu"/>
    <w:link w:val="Nagwek3"/>
    <w:uiPriority w:val="9"/>
    <w:semiHidden/>
    <w:rsid w:val="00BF5F0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F5F0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F5F0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F5F0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5F0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5F0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5F06"/>
    <w:rPr>
      <w:rFonts w:eastAsiaTheme="majorEastAsia" w:cstheme="majorBidi"/>
      <w:color w:val="272727" w:themeColor="text1" w:themeTint="D8"/>
    </w:rPr>
  </w:style>
  <w:style w:type="paragraph" w:styleId="Tytu">
    <w:name w:val="Title"/>
    <w:basedOn w:val="Normalny"/>
    <w:next w:val="Normalny"/>
    <w:link w:val="TytuZnak"/>
    <w:uiPriority w:val="10"/>
    <w:qFormat/>
    <w:rsid w:val="00BF5F0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5F0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5F0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5F0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5F06"/>
    <w:pPr>
      <w:spacing w:before="160"/>
      <w:jc w:val="center"/>
    </w:pPr>
    <w:rPr>
      <w:i/>
      <w:iCs/>
      <w:color w:val="404040" w:themeColor="text1" w:themeTint="BF"/>
    </w:rPr>
  </w:style>
  <w:style w:type="character" w:customStyle="1" w:styleId="CytatZnak">
    <w:name w:val="Cytat Znak"/>
    <w:basedOn w:val="Domylnaczcionkaakapitu"/>
    <w:link w:val="Cytat"/>
    <w:uiPriority w:val="29"/>
    <w:rsid w:val="00BF5F06"/>
    <w:rPr>
      <w:i/>
      <w:iCs/>
      <w:color w:val="404040" w:themeColor="text1" w:themeTint="BF"/>
    </w:rPr>
  </w:style>
  <w:style w:type="paragraph" w:styleId="Akapitzlist">
    <w:name w:val="List Paragraph"/>
    <w:basedOn w:val="Normalny"/>
    <w:uiPriority w:val="34"/>
    <w:qFormat/>
    <w:rsid w:val="00BF5F06"/>
    <w:pPr>
      <w:ind w:left="720"/>
      <w:contextualSpacing/>
    </w:pPr>
  </w:style>
  <w:style w:type="character" w:styleId="Wyrnienieintensywne">
    <w:name w:val="Intense Emphasis"/>
    <w:basedOn w:val="Domylnaczcionkaakapitu"/>
    <w:uiPriority w:val="21"/>
    <w:qFormat/>
    <w:rsid w:val="00BF5F06"/>
    <w:rPr>
      <w:i/>
      <w:iCs/>
      <w:color w:val="2F5496" w:themeColor="accent1" w:themeShade="BF"/>
    </w:rPr>
  </w:style>
  <w:style w:type="paragraph" w:styleId="Cytatintensywny">
    <w:name w:val="Intense Quote"/>
    <w:basedOn w:val="Normalny"/>
    <w:next w:val="Normalny"/>
    <w:link w:val="CytatintensywnyZnak"/>
    <w:uiPriority w:val="30"/>
    <w:qFormat/>
    <w:rsid w:val="00BF5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F5F06"/>
    <w:rPr>
      <w:i/>
      <w:iCs/>
      <w:color w:val="2F5496" w:themeColor="accent1" w:themeShade="BF"/>
    </w:rPr>
  </w:style>
  <w:style w:type="character" w:styleId="Odwoanieintensywne">
    <w:name w:val="Intense Reference"/>
    <w:basedOn w:val="Domylnaczcionkaakapitu"/>
    <w:uiPriority w:val="32"/>
    <w:qFormat/>
    <w:rsid w:val="00BF5F06"/>
    <w:rPr>
      <w:b/>
      <w:bCs/>
      <w:smallCaps/>
      <w:color w:val="2F5496" w:themeColor="accent1" w:themeShade="BF"/>
      <w:spacing w:val="5"/>
    </w:rPr>
  </w:style>
  <w:style w:type="paragraph" w:styleId="Tekstpodstawowy2">
    <w:name w:val="Body Text 2"/>
    <w:basedOn w:val="Normalny"/>
    <w:link w:val="Tekstpodstawowy2Znak"/>
    <w:semiHidden/>
    <w:rsid w:val="00BF5F06"/>
    <w:rPr>
      <w:sz w:val="24"/>
    </w:rPr>
  </w:style>
  <w:style w:type="character" w:customStyle="1" w:styleId="Tekstpodstawowy2Znak">
    <w:name w:val="Tekst podstawowy 2 Znak"/>
    <w:basedOn w:val="Domylnaczcionkaakapitu"/>
    <w:link w:val="Tekstpodstawowy2"/>
    <w:semiHidden/>
    <w:rsid w:val="00BF5F06"/>
    <w:rPr>
      <w:rFonts w:ascii="Times New Roman" w:eastAsia="Times New Roman" w:hAnsi="Times New Roman" w:cs="Times New Roman"/>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682</Words>
  <Characters>4096</Characters>
  <Application>Microsoft Office Word</Application>
  <DocSecurity>0</DocSecurity>
  <Lines>34</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Sieczkowska-Popielarek</dc:creator>
  <cp:keywords/>
  <dc:description/>
  <cp:lastModifiedBy>Łukasz Stolarski</cp:lastModifiedBy>
  <cp:revision>3</cp:revision>
  <dcterms:created xsi:type="dcterms:W3CDTF">2026-05-26T11:51:00Z</dcterms:created>
  <dcterms:modified xsi:type="dcterms:W3CDTF">2026-05-26T11:54:00Z</dcterms:modified>
</cp:coreProperties>
</file>